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974E" w14:textId="071C03B5" w:rsidR="001C434A" w:rsidRDefault="00635EC4" w:rsidP="005F5AF8">
      <w:pPr>
        <w:spacing w:line="240" w:lineRule="atLeast"/>
        <w:ind w:righ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it-IT"/>
        </w:rPr>
      </w:pPr>
      <w:bookmarkStart w:id="0" w:name="_GoBack"/>
      <w:bookmarkEnd w:id="0"/>
      <w:r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 wp14:anchorId="58C6F70B" wp14:editId="09EFFBD0">
            <wp:simplePos x="0" y="0"/>
            <wp:positionH relativeFrom="page">
              <wp:posOffset>5850255</wp:posOffset>
            </wp:positionH>
            <wp:positionV relativeFrom="page">
              <wp:posOffset>447252</wp:posOffset>
            </wp:positionV>
            <wp:extent cx="1173268" cy="352863"/>
            <wp:effectExtent l="0" t="0" r="0" b="3175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zione: OSX:Users:alberto.pappini:Desktop:doBank - CartaIntestata:Loghi per Office:doBank_grigio_h2,5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68" cy="35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7C0C5" w14:textId="7056334E" w:rsidR="001C434A" w:rsidRPr="00A45095" w:rsidRDefault="001C434A" w:rsidP="001C434A">
      <w:pPr>
        <w:spacing w:line="240" w:lineRule="atLeast"/>
        <w:ind w:left="567" w:right="-284"/>
        <w:jc w:val="center"/>
        <w:rPr>
          <w:rFonts w:ascii="Arial" w:eastAsia="Times New Roman" w:hAnsi="Arial" w:cs="Arial"/>
          <w:color w:val="000000"/>
          <w:sz w:val="28"/>
          <w:szCs w:val="28"/>
          <w:lang w:val="it-IT"/>
        </w:rPr>
      </w:pPr>
      <w:r w:rsidRPr="00A4509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it-IT"/>
        </w:rPr>
        <w:t xml:space="preserve">Comunicato stampa </w:t>
      </w:r>
    </w:p>
    <w:p w14:paraId="7DEDE589" w14:textId="77777777" w:rsidR="001C434A" w:rsidRPr="00E10469" w:rsidRDefault="001C434A" w:rsidP="00E10469">
      <w:pPr>
        <w:spacing w:line="240" w:lineRule="atLeast"/>
        <w:ind w:right="-284"/>
        <w:rPr>
          <w:rFonts w:ascii="Arial" w:hAnsi="Arial" w:cs="Arial"/>
          <w:b/>
          <w:color w:val="000000"/>
          <w:shd w:val="clear" w:color="auto" w:fill="FFFFFF"/>
          <w:lang w:val="it-IT"/>
        </w:rPr>
      </w:pPr>
    </w:p>
    <w:p w14:paraId="2A8BB560" w14:textId="30AEAB60" w:rsidR="001C434A" w:rsidRPr="00A45095" w:rsidRDefault="001C434A" w:rsidP="001C434A">
      <w:pPr>
        <w:spacing w:line="240" w:lineRule="atLeast"/>
        <w:ind w:left="567" w:right="-284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it-IT"/>
        </w:rPr>
      </w:pPr>
      <w:r w:rsidRPr="00A4509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it-IT"/>
        </w:rPr>
        <w:t xml:space="preserve">A LINDORFF IL CONTROLLO DI GEXTRA (Gruppo </w:t>
      </w:r>
      <w:proofErr w:type="spellStart"/>
      <w:r w:rsidRPr="00A4509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it-IT"/>
        </w:rPr>
        <w:t>doBank</w:t>
      </w:r>
      <w:proofErr w:type="spellEnd"/>
      <w:r w:rsidRPr="00A4509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it-IT"/>
        </w:rPr>
        <w:t>)</w:t>
      </w:r>
    </w:p>
    <w:p w14:paraId="12A639E7" w14:textId="77777777" w:rsidR="005C569B" w:rsidRDefault="005C569B" w:rsidP="001C434A">
      <w:pPr>
        <w:spacing w:line="240" w:lineRule="atLeast"/>
        <w:ind w:left="567" w:right="-284"/>
        <w:jc w:val="both"/>
        <w:rPr>
          <w:rFonts w:ascii="Times New Roman" w:hAnsi="Times New Roman"/>
          <w:b/>
          <w:color w:val="000000"/>
          <w:shd w:val="clear" w:color="auto" w:fill="FFFFFF"/>
          <w:lang w:val="it-IT"/>
        </w:rPr>
      </w:pPr>
    </w:p>
    <w:p w14:paraId="67C82168" w14:textId="4599031F" w:rsidR="005C569B" w:rsidRPr="008400D5" w:rsidRDefault="005C569B" w:rsidP="005C569B">
      <w:pPr>
        <w:spacing w:line="276" w:lineRule="auto"/>
        <w:ind w:left="284" w:right="-284"/>
        <w:jc w:val="both"/>
        <w:rPr>
          <w:rFonts w:ascii="Arial" w:hAnsi="Arial" w:cs="Arial"/>
          <w:lang w:val="it-IT"/>
        </w:rPr>
      </w:pPr>
      <w:r w:rsidRPr="008400D5">
        <w:rPr>
          <w:rFonts w:ascii="Arial" w:hAnsi="Arial" w:cs="Arial"/>
          <w:i/>
          <w:lang w:val="it-IT"/>
        </w:rPr>
        <w:t>Roma, Milano</w:t>
      </w:r>
      <w:r w:rsidR="00D51B98">
        <w:rPr>
          <w:rFonts w:ascii="Arial" w:hAnsi="Arial" w:cs="Arial"/>
          <w:lang w:val="it-IT"/>
        </w:rPr>
        <w:t xml:space="preserve"> </w:t>
      </w:r>
      <w:r w:rsidR="0096518C">
        <w:rPr>
          <w:rFonts w:ascii="Arial" w:hAnsi="Arial" w:cs="Arial"/>
          <w:lang w:val="it-IT"/>
        </w:rPr>
        <w:t xml:space="preserve">4 </w:t>
      </w:r>
      <w:r w:rsidR="00D51B98">
        <w:rPr>
          <w:rFonts w:ascii="Arial" w:hAnsi="Arial" w:cs="Arial"/>
          <w:lang w:val="it-IT"/>
        </w:rPr>
        <w:t>Maggio</w:t>
      </w:r>
      <w:r w:rsidRPr="008400D5">
        <w:rPr>
          <w:rFonts w:ascii="Arial" w:hAnsi="Arial" w:cs="Arial"/>
          <w:lang w:val="it-IT"/>
        </w:rPr>
        <w:t xml:space="preserve"> 2017.</w:t>
      </w:r>
      <w:r w:rsidRPr="008400D5">
        <w:rPr>
          <w:rFonts w:ascii="Arial" w:hAnsi="Arial" w:cs="Arial"/>
          <w:b/>
          <w:lang w:val="it-IT"/>
        </w:rPr>
        <w:t>doBank,</w:t>
      </w:r>
      <w:r w:rsidRPr="008400D5">
        <w:rPr>
          <w:rFonts w:ascii="Arial" w:hAnsi="Arial" w:cs="Arial"/>
          <w:lang w:val="it-IT"/>
        </w:rPr>
        <w:t xml:space="preserve"> il più grande Gruppo italiano specializzato nei servizi per la gestione dei crediti </w:t>
      </w:r>
      <w:proofErr w:type="gramStart"/>
      <w:r w:rsidRPr="008400D5">
        <w:rPr>
          <w:rFonts w:ascii="Arial" w:hAnsi="Arial" w:cs="Arial"/>
          <w:lang w:val="it-IT"/>
        </w:rPr>
        <w:t>problematici</w:t>
      </w:r>
      <w:proofErr w:type="gramEnd"/>
      <w:r w:rsidRPr="008400D5">
        <w:rPr>
          <w:rFonts w:ascii="Arial" w:hAnsi="Arial" w:cs="Arial"/>
          <w:lang w:val="it-IT"/>
        </w:rPr>
        <w:t xml:space="preserve"> e </w:t>
      </w:r>
      <w:proofErr w:type="spellStart"/>
      <w:r w:rsidRPr="008400D5">
        <w:rPr>
          <w:rFonts w:ascii="Arial" w:hAnsi="Arial" w:cs="Arial"/>
          <w:b/>
          <w:lang w:val="it-IT"/>
        </w:rPr>
        <w:t>Lindorff</w:t>
      </w:r>
      <w:proofErr w:type="spellEnd"/>
      <w:r w:rsidRPr="008400D5">
        <w:rPr>
          <w:rFonts w:ascii="Arial" w:hAnsi="Arial" w:cs="Arial"/>
          <w:b/>
          <w:lang w:val="it-IT"/>
        </w:rPr>
        <w:t xml:space="preserve"> Italia</w:t>
      </w:r>
      <w:r w:rsidRPr="008400D5">
        <w:rPr>
          <w:rFonts w:ascii="Arial" w:hAnsi="Arial" w:cs="Arial"/>
          <w:lang w:val="it-IT"/>
        </w:rPr>
        <w:t xml:space="preserve">, </w:t>
      </w:r>
      <w:proofErr w:type="spellStart"/>
      <w:r w:rsidRPr="008400D5">
        <w:rPr>
          <w:rFonts w:ascii="Arial" w:hAnsi="Arial" w:cs="Arial"/>
          <w:lang w:val="it-IT"/>
        </w:rPr>
        <w:t>branch</w:t>
      </w:r>
      <w:proofErr w:type="spellEnd"/>
      <w:r w:rsidRPr="008400D5">
        <w:rPr>
          <w:rFonts w:ascii="Arial" w:hAnsi="Arial" w:cs="Arial"/>
          <w:lang w:val="it-IT"/>
        </w:rPr>
        <w:t xml:space="preserve"> italiana di </w:t>
      </w:r>
      <w:proofErr w:type="spellStart"/>
      <w:r w:rsidRPr="008400D5">
        <w:rPr>
          <w:rFonts w:ascii="Arial" w:hAnsi="Arial" w:cs="Arial"/>
          <w:b/>
          <w:lang w:val="it-IT"/>
        </w:rPr>
        <w:t>Lindorff</w:t>
      </w:r>
      <w:proofErr w:type="spellEnd"/>
      <w:r w:rsidRPr="008400D5">
        <w:rPr>
          <w:rFonts w:ascii="Arial" w:hAnsi="Arial" w:cs="Arial"/>
          <w:b/>
          <w:lang w:val="it-IT"/>
        </w:rPr>
        <w:t xml:space="preserve"> Group</w:t>
      </w:r>
      <w:r w:rsidRPr="008400D5">
        <w:rPr>
          <w:rFonts w:ascii="Arial" w:hAnsi="Arial" w:cs="Arial"/>
          <w:lang w:val="it-IT"/>
        </w:rPr>
        <w:t xml:space="preserve">, leader europeo attivo nella gestione del credito, hanno raggiunto un accordo per la cessione a </w:t>
      </w:r>
      <w:proofErr w:type="spellStart"/>
      <w:r w:rsidRPr="008400D5">
        <w:rPr>
          <w:rFonts w:ascii="Arial" w:hAnsi="Arial" w:cs="Arial"/>
          <w:b/>
          <w:lang w:val="it-IT"/>
        </w:rPr>
        <w:t>Lindorff</w:t>
      </w:r>
      <w:proofErr w:type="spellEnd"/>
      <w:r w:rsidRPr="008400D5">
        <w:rPr>
          <w:rFonts w:ascii="Arial" w:hAnsi="Arial" w:cs="Arial"/>
          <w:lang w:val="it-IT"/>
        </w:rPr>
        <w:t xml:space="preserve"> di </w:t>
      </w:r>
      <w:proofErr w:type="spellStart"/>
      <w:r w:rsidRPr="008400D5">
        <w:rPr>
          <w:rFonts w:ascii="Arial" w:hAnsi="Arial" w:cs="Arial"/>
          <w:b/>
          <w:lang w:val="it-IT"/>
        </w:rPr>
        <w:t>Gextra</w:t>
      </w:r>
      <w:proofErr w:type="spellEnd"/>
      <w:r w:rsidRPr="008400D5">
        <w:rPr>
          <w:rFonts w:ascii="Arial" w:hAnsi="Arial" w:cs="Arial"/>
          <w:lang w:val="it-IT"/>
        </w:rPr>
        <w:t xml:space="preserve">, società specializzata nei servizi di recupero crediti di piccole dimensioni e controllata da </w:t>
      </w:r>
      <w:proofErr w:type="spellStart"/>
      <w:r w:rsidRPr="008400D5">
        <w:rPr>
          <w:rFonts w:ascii="Arial" w:hAnsi="Arial" w:cs="Arial"/>
          <w:b/>
          <w:lang w:val="it-IT"/>
        </w:rPr>
        <w:t>doBank</w:t>
      </w:r>
      <w:proofErr w:type="spellEnd"/>
      <w:r w:rsidRPr="008400D5">
        <w:rPr>
          <w:rFonts w:ascii="Arial" w:hAnsi="Arial" w:cs="Arial"/>
          <w:lang w:val="it-IT"/>
        </w:rPr>
        <w:t xml:space="preserve"> tramite </w:t>
      </w:r>
      <w:proofErr w:type="spellStart"/>
      <w:r w:rsidRPr="008400D5">
        <w:rPr>
          <w:rFonts w:ascii="Arial" w:hAnsi="Arial" w:cs="Arial"/>
          <w:b/>
          <w:lang w:val="it-IT"/>
        </w:rPr>
        <w:t>Italfondiario</w:t>
      </w:r>
      <w:proofErr w:type="spellEnd"/>
      <w:r w:rsidRPr="008400D5">
        <w:rPr>
          <w:rFonts w:ascii="Arial" w:hAnsi="Arial" w:cs="Arial"/>
          <w:b/>
          <w:lang w:val="it-IT"/>
        </w:rPr>
        <w:t>.</w:t>
      </w:r>
    </w:p>
    <w:p w14:paraId="4C966F79" w14:textId="77777777" w:rsidR="001C434A" w:rsidRPr="00E10469" w:rsidRDefault="001C434A" w:rsidP="001C434A">
      <w:pPr>
        <w:spacing w:line="276" w:lineRule="auto"/>
        <w:ind w:left="284" w:right="-284"/>
        <w:jc w:val="both"/>
        <w:rPr>
          <w:rFonts w:ascii="Times New Roman" w:hAnsi="Times New Roman"/>
          <w:i/>
          <w:color w:val="000000"/>
          <w:lang w:val="it-IT"/>
        </w:rPr>
      </w:pPr>
    </w:p>
    <w:p w14:paraId="736DA201" w14:textId="3FF02BDB" w:rsidR="0011679B" w:rsidRPr="008400D5" w:rsidRDefault="0011679B" w:rsidP="0011679B">
      <w:pPr>
        <w:spacing w:line="276" w:lineRule="auto"/>
        <w:ind w:left="284" w:right="-284"/>
        <w:jc w:val="both"/>
        <w:rPr>
          <w:rFonts w:ascii="Arial" w:hAnsi="Arial" w:cs="Arial"/>
          <w:lang w:val="it-IT"/>
        </w:rPr>
      </w:pPr>
      <w:r w:rsidRPr="008400D5">
        <w:rPr>
          <w:rFonts w:ascii="Arial" w:hAnsi="Arial" w:cs="Arial"/>
          <w:lang w:val="it-IT"/>
        </w:rPr>
        <w:t xml:space="preserve">La vendita di </w:t>
      </w:r>
      <w:proofErr w:type="spellStart"/>
      <w:r w:rsidRPr="008400D5">
        <w:rPr>
          <w:rFonts w:ascii="Arial" w:hAnsi="Arial" w:cs="Arial"/>
          <w:lang w:val="it-IT"/>
        </w:rPr>
        <w:t>Gextra</w:t>
      </w:r>
      <w:proofErr w:type="spellEnd"/>
      <w:r w:rsidRPr="008400D5">
        <w:rPr>
          <w:rFonts w:ascii="Arial" w:hAnsi="Arial" w:cs="Arial"/>
          <w:lang w:val="it-IT"/>
        </w:rPr>
        <w:t xml:space="preserve"> rientra nella strategia di </w:t>
      </w:r>
      <w:proofErr w:type="spellStart"/>
      <w:r w:rsidRPr="005F5AF8">
        <w:rPr>
          <w:rFonts w:ascii="Arial" w:hAnsi="Arial" w:cs="Arial"/>
          <w:b/>
          <w:lang w:val="it-IT"/>
        </w:rPr>
        <w:t>doBank</w:t>
      </w:r>
      <w:proofErr w:type="spellEnd"/>
      <w:r w:rsidRPr="008400D5">
        <w:rPr>
          <w:rFonts w:ascii="Arial" w:hAnsi="Arial" w:cs="Arial"/>
          <w:lang w:val="it-IT"/>
        </w:rPr>
        <w:t xml:space="preserve"> di concentrare la propria operatività nella gestione di crediti di dimensioni medio-grandi, realizzando collaborazioni mirate con operatori specializzati di elevato standing per la gestione di crediti di piccole dimensioni.</w:t>
      </w:r>
    </w:p>
    <w:p w14:paraId="023D193E" w14:textId="77777777" w:rsidR="0011679B" w:rsidRPr="008400D5" w:rsidRDefault="0011679B" w:rsidP="0011679B">
      <w:pPr>
        <w:spacing w:line="276" w:lineRule="auto"/>
        <w:ind w:left="284" w:right="-284"/>
        <w:jc w:val="both"/>
        <w:rPr>
          <w:rFonts w:ascii="Arial" w:hAnsi="Arial" w:cs="Arial"/>
          <w:lang w:val="it-IT"/>
        </w:rPr>
      </w:pPr>
    </w:p>
    <w:p w14:paraId="72E97120" w14:textId="1F007887" w:rsidR="00651000" w:rsidRPr="008400D5" w:rsidRDefault="0011679B" w:rsidP="00BE0B4D">
      <w:pPr>
        <w:spacing w:line="276" w:lineRule="auto"/>
        <w:ind w:left="284" w:right="-284"/>
        <w:jc w:val="both"/>
        <w:rPr>
          <w:rFonts w:ascii="Arial" w:hAnsi="Arial" w:cs="Arial"/>
          <w:lang w:val="it-IT"/>
        </w:rPr>
      </w:pPr>
      <w:r w:rsidRPr="008400D5">
        <w:rPr>
          <w:rFonts w:ascii="Arial" w:hAnsi="Arial" w:cs="Arial"/>
          <w:lang w:val="it-IT"/>
        </w:rPr>
        <w:t xml:space="preserve">Grazie a questo accordo, </w:t>
      </w:r>
      <w:proofErr w:type="spellStart"/>
      <w:r w:rsidRPr="008400D5">
        <w:rPr>
          <w:rFonts w:ascii="Arial" w:hAnsi="Arial" w:cs="Arial"/>
          <w:lang w:val="it-IT"/>
        </w:rPr>
        <w:t>Gextra</w:t>
      </w:r>
      <w:proofErr w:type="spellEnd"/>
      <w:r w:rsidRPr="008400D5">
        <w:rPr>
          <w:rFonts w:ascii="Arial" w:hAnsi="Arial" w:cs="Arial"/>
          <w:lang w:val="it-IT"/>
        </w:rPr>
        <w:t xml:space="preserve">, che nel corso degli anni ha percorso con successo tutte le tappe di sviluppo da “start-up” a operatore di primario livello del settore, potrà ulteriormente valorizzare il proprio know-how, le competenze </w:t>
      </w:r>
      <w:r w:rsidR="0003343F" w:rsidRPr="008400D5">
        <w:rPr>
          <w:rFonts w:ascii="Arial" w:hAnsi="Arial" w:cs="Arial"/>
          <w:lang w:val="it-IT"/>
        </w:rPr>
        <w:t>e le professionalità distintive</w:t>
      </w:r>
      <w:r w:rsidR="00BE0B4D" w:rsidRPr="008400D5">
        <w:rPr>
          <w:rFonts w:ascii="Arial" w:hAnsi="Arial" w:cs="Arial"/>
          <w:lang w:val="it-IT"/>
        </w:rPr>
        <w:t xml:space="preserve">, consentendo altresì </w:t>
      </w:r>
      <w:r w:rsidR="00CE5862" w:rsidRPr="008400D5">
        <w:rPr>
          <w:rFonts w:ascii="Arial" w:hAnsi="Arial" w:cs="Arial"/>
          <w:color w:val="000000"/>
          <w:lang w:val="it-IT"/>
        </w:rPr>
        <w:t xml:space="preserve">al </w:t>
      </w:r>
      <w:proofErr w:type="spellStart"/>
      <w:r w:rsidR="00BE0B4D" w:rsidRPr="00E10469">
        <w:rPr>
          <w:rFonts w:ascii="Arial" w:hAnsi="Arial" w:cs="Arial"/>
          <w:b/>
          <w:color w:val="000000"/>
          <w:lang w:val="it-IT"/>
        </w:rPr>
        <w:t>Lindorff</w:t>
      </w:r>
      <w:proofErr w:type="spellEnd"/>
      <w:r w:rsidR="00BE0B4D" w:rsidRPr="00E10469">
        <w:rPr>
          <w:rFonts w:ascii="Arial" w:hAnsi="Arial" w:cs="Arial"/>
          <w:b/>
          <w:color w:val="000000"/>
          <w:lang w:val="it-IT"/>
        </w:rPr>
        <w:t xml:space="preserve"> </w:t>
      </w:r>
      <w:r w:rsidR="00E10469" w:rsidRPr="00E10469">
        <w:rPr>
          <w:rFonts w:ascii="Arial" w:hAnsi="Arial" w:cs="Arial"/>
          <w:b/>
          <w:color w:val="000000"/>
          <w:lang w:val="it-IT"/>
        </w:rPr>
        <w:t>Italia</w:t>
      </w:r>
      <w:r w:rsidR="00E10469">
        <w:rPr>
          <w:rFonts w:ascii="Arial" w:hAnsi="Arial" w:cs="Arial"/>
          <w:color w:val="000000"/>
          <w:lang w:val="it-IT"/>
        </w:rPr>
        <w:t xml:space="preserve"> </w:t>
      </w:r>
      <w:r w:rsidR="001C434A" w:rsidRPr="008400D5">
        <w:rPr>
          <w:rFonts w:ascii="Arial" w:hAnsi="Arial" w:cs="Arial"/>
          <w:color w:val="000000"/>
          <w:lang w:val="it-IT"/>
        </w:rPr>
        <w:t xml:space="preserve">di </w:t>
      </w:r>
      <w:r w:rsidR="00005C8D" w:rsidRPr="008400D5">
        <w:rPr>
          <w:rFonts w:ascii="Arial" w:hAnsi="Arial" w:cs="Arial"/>
          <w:color w:val="000000"/>
          <w:lang w:val="it-IT"/>
        </w:rPr>
        <w:t xml:space="preserve">rafforzare la </w:t>
      </w:r>
      <w:r w:rsidR="00CE5862" w:rsidRPr="008400D5">
        <w:rPr>
          <w:rFonts w:ascii="Arial" w:hAnsi="Arial" w:cs="Arial"/>
          <w:color w:val="000000"/>
          <w:lang w:val="it-IT"/>
        </w:rPr>
        <w:t xml:space="preserve">propria </w:t>
      </w:r>
      <w:r w:rsidR="00005C8D" w:rsidRPr="008400D5">
        <w:rPr>
          <w:rFonts w:ascii="Arial" w:hAnsi="Arial" w:cs="Arial"/>
          <w:color w:val="000000"/>
          <w:lang w:val="it-IT"/>
        </w:rPr>
        <w:t>piattaforma nel segmento small ticket e quindi nel recupero, i</w:t>
      </w:r>
      <w:r w:rsidR="001C434A" w:rsidRPr="008400D5">
        <w:rPr>
          <w:rFonts w:ascii="Arial" w:hAnsi="Arial" w:cs="Arial"/>
          <w:color w:val="000000"/>
          <w:lang w:val="it-IT"/>
        </w:rPr>
        <w:t xml:space="preserve">n maniera sostenibile, dei crediti in ambito </w:t>
      </w:r>
      <w:proofErr w:type="spellStart"/>
      <w:r w:rsidR="001C434A" w:rsidRPr="008400D5">
        <w:rPr>
          <w:rFonts w:ascii="Arial" w:hAnsi="Arial" w:cs="Arial"/>
          <w:color w:val="000000"/>
          <w:lang w:val="it-IT"/>
        </w:rPr>
        <w:t>retail</w:t>
      </w:r>
      <w:proofErr w:type="spellEnd"/>
      <w:r w:rsidR="00005C8D" w:rsidRPr="008400D5">
        <w:rPr>
          <w:rFonts w:ascii="Arial" w:hAnsi="Arial" w:cs="Arial"/>
          <w:color w:val="000000"/>
          <w:lang w:val="it-IT"/>
        </w:rPr>
        <w:t>.</w:t>
      </w:r>
    </w:p>
    <w:p w14:paraId="61174577" w14:textId="77777777" w:rsidR="00BE0B4D" w:rsidRPr="00E10469" w:rsidRDefault="00BE0B4D" w:rsidP="001C434A">
      <w:pPr>
        <w:spacing w:line="276" w:lineRule="auto"/>
        <w:ind w:left="284" w:right="-284"/>
        <w:jc w:val="both"/>
        <w:rPr>
          <w:rFonts w:ascii="Arial" w:hAnsi="Arial" w:cs="Arial"/>
          <w:i/>
          <w:color w:val="000000"/>
          <w:lang w:val="it-IT"/>
        </w:rPr>
      </w:pPr>
    </w:p>
    <w:p w14:paraId="3680C087" w14:textId="701C9CD8" w:rsidR="00685883" w:rsidRPr="00E10469" w:rsidRDefault="00BE0B4D" w:rsidP="00E10469">
      <w:pPr>
        <w:spacing w:line="276" w:lineRule="auto"/>
        <w:ind w:left="284" w:right="-284"/>
        <w:jc w:val="center"/>
        <w:rPr>
          <w:rFonts w:ascii="Times New Roman" w:eastAsiaTheme="minorEastAsia" w:hAnsi="Times New Roman"/>
          <w:b/>
          <w:color w:val="262626"/>
          <w:lang w:val="it-IT" w:bidi="ar-SA"/>
        </w:rPr>
      </w:pPr>
      <w:r>
        <w:rPr>
          <w:rFonts w:ascii="Times New Roman" w:eastAsiaTheme="minorEastAsia" w:hAnsi="Times New Roman"/>
          <w:b/>
          <w:color w:val="262626"/>
          <w:lang w:val="it-IT" w:bidi="ar-SA"/>
        </w:rPr>
        <w:t>***</w:t>
      </w:r>
    </w:p>
    <w:p w14:paraId="0DD31E28" w14:textId="3CCF0167" w:rsidR="001C434A" w:rsidRPr="00BE0B4D" w:rsidRDefault="001C434A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b/>
          <w:color w:val="262626"/>
          <w:sz w:val="22"/>
          <w:szCs w:val="22"/>
          <w:lang w:val="it-IT" w:bidi="ar-SA"/>
        </w:rPr>
      </w:pPr>
      <w:r w:rsidRPr="00BE0B4D">
        <w:rPr>
          <w:rFonts w:ascii="Arial" w:eastAsiaTheme="minorEastAsia" w:hAnsi="Arial" w:cs="Arial"/>
          <w:b/>
          <w:color w:val="262626"/>
          <w:sz w:val="22"/>
          <w:szCs w:val="22"/>
          <w:lang w:val="it-IT" w:bidi="ar-SA"/>
        </w:rPr>
        <w:t xml:space="preserve">Il Gruppo </w:t>
      </w:r>
      <w:proofErr w:type="spellStart"/>
      <w:r w:rsidRPr="00BE0B4D">
        <w:rPr>
          <w:rFonts w:ascii="Arial" w:eastAsiaTheme="minorEastAsia" w:hAnsi="Arial" w:cs="Arial"/>
          <w:b/>
          <w:color w:val="262626"/>
          <w:sz w:val="22"/>
          <w:szCs w:val="22"/>
          <w:lang w:val="it-IT" w:bidi="ar-SA"/>
        </w:rPr>
        <w:t>doBank</w:t>
      </w:r>
      <w:proofErr w:type="spellEnd"/>
    </w:p>
    <w:p w14:paraId="7738A98A" w14:textId="355E9F12" w:rsidR="001C434A" w:rsidRPr="00BE0B4D" w:rsidRDefault="001C434A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b/>
          <w:color w:val="262626"/>
          <w:sz w:val="22"/>
          <w:szCs w:val="22"/>
          <w:lang w:val="it-IT" w:bidi="ar-SA"/>
        </w:rPr>
      </w:pPr>
      <w:r w:rsidRPr="00BE0B4D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 xml:space="preserve">Il </w:t>
      </w:r>
      <w:r w:rsidRPr="00BE0B4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Gruppo </w:t>
      </w:r>
      <w:proofErr w:type="spellStart"/>
      <w:r w:rsidRPr="00BE0B4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>doBank</w:t>
      </w:r>
      <w:proofErr w:type="spellEnd"/>
      <w:r w:rsidRPr="00BE0B4D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 xml:space="preserve"> nasce nel 2016 in seguito all’acquisizione di </w:t>
      </w:r>
      <w:proofErr w:type="spellStart"/>
      <w:r w:rsidRPr="00BE0B4D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>Italfondiario</w:t>
      </w:r>
      <w:proofErr w:type="spellEnd"/>
      <w:r w:rsidRPr="00BE0B4D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 xml:space="preserve"> da parte di </w:t>
      </w:r>
      <w:proofErr w:type="spellStart"/>
      <w:r w:rsidRPr="00BE0B4D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>doBank</w:t>
      </w:r>
      <w:proofErr w:type="spellEnd"/>
      <w:r w:rsidRPr="00BE0B4D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 xml:space="preserve"> e rappresenta il più grande gruppo </w:t>
      </w:r>
      <w:r w:rsidRPr="00BE0B4D">
        <w:rPr>
          <w:rFonts w:ascii="Arial" w:eastAsiaTheme="minorEastAsia" w:hAnsi="Arial" w:cs="Arial"/>
          <w:sz w:val="22"/>
          <w:szCs w:val="22"/>
          <w:lang w:val="it-IT" w:eastAsia="it-IT"/>
        </w:rPr>
        <w:t>specializzato nei servizi per la gestione dei crediti problematici con oltre 1,7 milioni di crediti gestiti per € 81 miliardi di GBV (Gross Book Value) al 31 dicembre 2016,</w:t>
      </w:r>
      <w:r w:rsidRPr="00BE0B4D">
        <w:rPr>
          <w:rFonts w:ascii="Arial" w:eastAsiaTheme="minorEastAsia" w:hAnsi="Arial" w:cs="Arial"/>
          <w:b/>
          <w:color w:val="262626"/>
          <w:sz w:val="22"/>
          <w:szCs w:val="22"/>
          <w:lang w:val="it-IT" w:bidi="ar-SA"/>
        </w:rPr>
        <w:t xml:space="preserve"> </w:t>
      </w:r>
      <w:r w:rsidRPr="00BE0B4D">
        <w:rPr>
          <w:rFonts w:ascii="Arial" w:eastAsiaTheme="minorEastAsia" w:hAnsi="Arial" w:cs="Arial"/>
          <w:sz w:val="22"/>
          <w:szCs w:val="22"/>
          <w:lang w:val="it-IT" w:eastAsia="it-IT"/>
        </w:rPr>
        <w:t>e più di 3.000 professionisti, tra dipendenti e collaboratori esterni,</w:t>
      </w:r>
      <w:r w:rsidRPr="00BE0B4D">
        <w:rPr>
          <w:rFonts w:ascii="Arial" w:hAnsi="Arial" w:cs="Arial"/>
          <w:sz w:val="22"/>
          <w:szCs w:val="22"/>
          <w:lang w:val="it-IT"/>
        </w:rPr>
        <w:t xml:space="preserve"> </w:t>
      </w:r>
      <w:r w:rsidRPr="00BE0B4D">
        <w:rPr>
          <w:rFonts w:ascii="Arial" w:eastAsiaTheme="minorEastAsia" w:hAnsi="Arial" w:cs="Arial"/>
          <w:sz w:val="22"/>
          <w:szCs w:val="22"/>
          <w:lang w:val="it-IT" w:eastAsia="it-IT"/>
        </w:rPr>
        <w:t>nelle sedi presenti su tutto il territorio nazionale tra le quali Verona, Roma e Milano.</w:t>
      </w:r>
    </w:p>
    <w:p w14:paraId="53CCF823" w14:textId="6C758EBA" w:rsidR="001C434A" w:rsidRPr="00BE0B4D" w:rsidRDefault="001C434A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b/>
          <w:color w:val="262626"/>
          <w:sz w:val="22"/>
          <w:szCs w:val="22"/>
          <w:lang w:val="it-IT" w:bidi="ar-SA"/>
        </w:rPr>
      </w:pPr>
      <w:r w:rsidRPr="00BE0B4D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 xml:space="preserve">Il </w:t>
      </w:r>
      <w:r w:rsidRPr="00BE0B4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Gruppo </w:t>
      </w:r>
      <w:proofErr w:type="spellStart"/>
      <w:r w:rsidRPr="00BE0B4D">
        <w:rPr>
          <w:rFonts w:ascii="Arial" w:eastAsiaTheme="minorEastAsia" w:hAnsi="Arial" w:cs="Arial"/>
          <w:b/>
          <w:sz w:val="22"/>
          <w:szCs w:val="22"/>
          <w:lang w:val="it-IT" w:eastAsia="it-IT"/>
        </w:rPr>
        <w:t>doBank</w:t>
      </w:r>
      <w:proofErr w:type="spellEnd"/>
      <w:r w:rsidRPr="00BE0B4D">
        <w:rPr>
          <w:rFonts w:ascii="Arial" w:eastAsiaTheme="minorEastAsia" w:hAnsi="Arial" w:cs="Arial"/>
          <w:b/>
          <w:sz w:val="22"/>
          <w:szCs w:val="22"/>
          <w:lang w:val="it-IT" w:eastAsia="it-IT"/>
        </w:rPr>
        <w:t xml:space="preserve"> </w:t>
      </w:r>
      <w:r w:rsidRPr="00BE0B4D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è il principale </w:t>
      </w:r>
      <w:proofErr w:type="spellStart"/>
      <w:r w:rsidRPr="00BE0B4D">
        <w:rPr>
          <w:rFonts w:ascii="Arial" w:eastAsiaTheme="minorEastAsia" w:hAnsi="Arial" w:cs="Arial"/>
          <w:sz w:val="22"/>
          <w:szCs w:val="22"/>
          <w:lang w:val="it-IT" w:eastAsia="it-IT"/>
        </w:rPr>
        <w:t>Servicer</w:t>
      </w:r>
      <w:proofErr w:type="spellEnd"/>
      <w:r w:rsidRPr="00BE0B4D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 per la gestione dei crediti problematici, nella valutazione e gestione degli NPL immobiliari e nel settore della raccolta e valorizzazione del patrimonio informativo a supporto dell’attività di gestione del credito.</w:t>
      </w:r>
    </w:p>
    <w:p w14:paraId="79582ADB" w14:textId="77777777" w:rsidR="001C434A" w:rsidRPr="000308DB" w:rsidRDefault="001C434A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b/>
          <w:color w:val="262626"/>
          <w:sz w:val="22"/>
          <w:szCs w:val="22"/>
          <w:lang w:val="it-IT" w:bidi="ar-SA"/>
        </w:rPr>
      </w:pPr>
      <w:r w:rsidRPr="00BE0B4D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 xml:space="preserve">Il </w:t>
      </w:r>
      <w:r w:rsidRPr="000308D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Gruppo </w:t>
      </w:r>
      <w:proofErr w:type="spellStart"/>
      <w:r w:rsidRPr="000308DB">
        <w:rPr>
          <w:rFonts w:ascii="Arial" w:eastAsiaTheme="minorEastAsia" w:hAnsi="Arial" w:cs="Arial"/>
          <w:b/>
          <w:sz w:val="22"/>
          <w:szCs w:val="22"/>
          <w:lang w:val="it-IT" w:eastAsia="it-IT"/>
        </w:rPr>
        <w:t>doBank</w:t>
      </w:r>
      <w:proofErr w:type="spellEnd"/>
      <w:r w:rsidRPr="000308DB">
        <w:rPr>
          <w:rFonts w:ascii="Arial" w:eastAsiaTheme="minorEastAsia" w:hAnsi="Arial" w:cs="Arial"/>
          <w:b/>
          <w:sz w:val="22"/>
          <w:szCs w:val="22"/>
          <w:lang w:val="it-IT" w:eastAsia="it-IT"/>
        </w:rPr>
        <w:t xml:space="preserve"> </w:t>
      </w:r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vanta da numerosi anni i più alti Rating del mercato a livello italiano da riconosciuti da S&amp;P e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Fitch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Ratings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.</w:t>
      </w:r>
    </w:p>
    <w:p w14:paraId="46711316" w14:textId="77777777" w:rsidR="001C434A" w:rsidRPr="000308DB" w:rsidRDefault="001C434A" w:rsidP="008400D5">
      <w:pPr>
        <w:spacing w:line="240" w:lineRule="atLeast"/>
        <w:ind w:left="284" w:right="-284"/>
        <w:jc w:val="both"/>
        <w:rPr>
          <w:rFonts w:ascii="Arial" w:hAnsi="Arial" w:cs="Arial"/>
          <w:noProof/>
          <w:sz w:val="22"/>
          <w:szCs w:val="22"/>
          <w:lang w:val="it-IT" w:eastAsia="it-IT"/>
        </w:rPr>
      </w:pPr>
      <w:r w:rsidRPr="000308DB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>G</w:t>
      </w:r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razie alla perfetta complementarietà delle diverse società del Gruppo, </w:t>
      </w:r>
      <w:proofErr w:type="spellStart"/>
      <w:r w:rsidRPr="000308DB">
        <w:rPr>
          <w:rFonts w:ascii="Arial" w:eastAsiaTheme="minorEastAsia" w:hAnsi="Arial" w:cs="Arial"/>
          <w:b/>
          <w:sz w:val="22"/>
          <w:szCs w:val="22"/>
          <w:lang w:val="it-IT" w:eastAsia="it-IT"/>
        </w:rPr>
        <w:t>doBank</w:t>
      </w:r>
      <w:proofErr w:type="spellEnd"/>
      <w:r w:rsidRPr="000308DB">
        <w:rPr>
          <w:rFonts w:ascii="Arial" w:eastAsiaTheme="minorEastAsia" w:hAnsi="Arial" w:cs="Arial"/>
          <w:b/>
          <w:sz w:val="22"/>
          <w:szCs w:val="22"/>
          <w:lang w:val="it-IT" w:eastAsia="it-IT"/>
        </w:rPr>
        <w:t xml:space="preserve"> </w:t>
      </w:r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rappresenta il Partner strategico per la gestione integrata dei crediti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performing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 e non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performing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.</w:t>
      </w:r>
    </w:p>
    <w:p w14:paraId="75728C85" w14:textId="74F16C41" w:rsidR="00AB280E" w:rsidRPr="000308DB" w:rsidRDefault="001C434A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sz w:val="22"/>
          <w:szCs w:val="22"/>
          <w:lang w:val="it-IT" w:eastAsia="it-IT"/>
        </w:rPr>
      </w:pPr>
      <w:r w:rsidRPr="000308DB">
        <w:rPr>
          <w:rFonts w:ascii="Arial" w:hAnsi="Arial" w:cs="Arial"/>
          <w:noProof/>
          <w:sz w:val="22"/>
          <w:szCs w:val="22"/>
          <w:lang w:val="it-IT" w:eastAsia="it-IT"/>
        </w:rPr>
        <w:t>Fanno parte del</w:t>
      </w:r>
      <w:r w:rsidRPr="000308DB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0308DB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Gruppo </w:t>
      </w:r>
      <w:proofErr w:type="spellStart"/>
      <w:r w:rsidRPr="000308DB">
        <w:rPr>
          <w:rFonts w:ascii="Arial" w:eastAsiaTheme="minorEastAsia" w:hAnsi="Arial" w:cs="Arial"/>
          <w:b/>
          <w:sz w:val="22"/>
          <w:szCs w:val="22"/>
          <w:lang w:val="it-IT" w:eastAsia="it-IT"/>
        </w:rPr>
        <w:t>doBank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: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doBank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,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Italfondiario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,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doRealEstate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 xml:space="preserve">, IBIS e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doSolutions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eastAsia="it-IT"/>
        </w:rPr>
        <w:t>.</w:t>
      </w:r>
    </w:p>
    <w:p w14:paraId="1208636A" w14:textId="77777777" w:rsidR="00AB280E" w:rsidRDefault="00AB280E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b/>
          <w:sz w:val="22"/>
          <w:szCs w:val="22"/>
          <w:lang w:val="it-IT" w:eastAsia="it-IT"/>
        </w:rPr>
      </w:pPr>
    </w:p>
    <w:p w14:paraId="13E173AA" w14:textId="77777777" w:rsidR="00E10469" w:rsidRDefault="00E10469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b/>
          <w:sz w:val="22"/>
          <w:szCs w:val="22"/>
          <w:lang w:val="it-IT" w:eastAsia="it-IT"/>
        </w:rPr>
      </w:pPr>
    </w:p>
    <w:p w14:paraId="4B1EF894" w14:textId="77777777" w:rsidR="00E10469" w:rsidRPr="000308DB" w:rsidRDefault="00E10469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b/>
          <w:sz w:val="22"/>
          <w:szCs w:val="22"/>
          <w:lang w:val="it-IT" w:eastAsia="it-IT"/>
        </w:rPr>
      </w:pPr>
    </w:p>
    <w:p w14:paraId="2B72B2CE" w14:textId="77777777" w:rsidR="000308DB" w:rsidRPr="000308DB" w:rsidRDefault="000308DB" w:rsidP="008400D5">
      <w:pPr>
        <w:widowControl w:val="0"/>
        <w:autoSpaceDE w:val="0"/>
        <w:autoSpaceDN w:val="0"/>
        <w:adjustRightInd w:val="0"/>
        <w:spacing w:line="240" w:lineRule="atLeast"/>
        <w:ind w:left="284" w:right="-284"/>
        <w:jc w:val="both"/>
        <w:rPr>
          <w:rFonts w:ascii="Arial" w:eastAsiaTheme="minorEastAsia" w:hAnsi="Arial" w:cs="Arial"/>
          <w:sz w:val="22"/>
          <w:szCs w:val="22"/>
          <w:lang w:val="it-IT" w:bidi="ar-SA"/>
        </w:rPr>
      </w:pPr>
      <w:proofErr w:type="spellStart"/>
      <w:r w:rsidRPr="000308DB">
        <w:rPr>
          <w:rFonts w:ascii="Arial" w:eastAsiaTheme="minorEastAsia" w:hAnsi="Arial" w:cs="Arial"/>
          <w:b/>
          <w:bCs/>
          <w:sz w:val="22"/>
          <w:szCs w:val="22"/>
          <w:lang w:val="it-IT" w:bidi="ar-SA"/>
        </w:rPr>
        <w:lastRenderedPageBreak/>
        <w:t>Lindorff</w:t>
      </w:r>
      <w:proofErr w:type="spellEnd"/>
    </w:p>
    <w:p w14:paraId="1043535A" w14:textId="0CC8E707" w:rsidR="000308DB" w:rsidRPr="000308DB" w:rsidRDefault="000308DB" w:rsidP="008400D5">
      <w:pPr>
        <w:widowControl w:val="0"/>
        <w:autoSpaceDE w:val="0"/>
        <w:autoSpaceDN w:val="0"/>
        <w:adjustRightInd w:val="0"/>
        <w:spacing w:line="240" w:lineRule="atLeast"/>
        <w:ind w:left="284" w:right="-284"/>
        <w:jc w:val="both"/>
        <w:rPr>
          <w:rFonts w:ascii="Arial" w:eastAsiaTheme="minorEastAsia" w:hAnsi="Arial" w:cs="Arial"/>
          <w:sz w:val="22"/>
          <w:szCs w:val="22"/>
          <w:lang w:val="it-IT" w:bidi="ar-SA"/>
        </w:rPr>
      </w:pPr>
      <w:r>
        <w:rPr>
          <w:rFonts w:ascii="Arial" w:eastAsiaTheme="minorEastAsia" w:hAnsi="Arial" w:cs="Arial"/>
          <w:sz w:val="22"/>
          <w:szCs w:val="22"/>
          <w:lang w:val="it-IT" w:bidi="ar-SA"/>
        </w:rPr>
        <w:t xml:space="preserve">Da oltre 100 anni, </w:t>
      </w:r>
      <w:proofErr w:type="spellStart"/>
      <w:r w:rsidRPr="005F5AF8">
        <w:rPr>
          <w:rFonts w:ascii="Arial" w:eastAsiaTheme="minorEastAsia" w:hAnsi="Arial" w:cs="Arial"/>
          <w:b/>
          <w:sz w:val="22"/>
          <w:szCs w:val="22"/>
          <w:lang w:val="it-IT" w:bidi="ar-SA"/>
        </w:rPr>
        <w:t>Lindorff</w:t>
      </w:r>
      <w:proofErr w:type="spellEnd"/>
      <w:r w:rsidRPr="005F5AF8">
        <w:rPr>
          <w:rFonts w:ascii="Arial" w:eastAsiaTheme="minorEastAsia" w:hAnsi="Arial" w:cs="Arial"/>
          <w:b/>
          <w:sz w:val="22"/>
          <w:szCs w:val="22"/>
          <w:lang w:val="it-IT" w:bidi="ar-SA"/>
        </w:rPr>
        <w:t xml:space="preserve"> </w:t>
      </w:r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offre </w:t>
      </w:r>
      <w:r w:rsidR="00E83F5A">
        <w:rPr>
          <w:rFonts w:ascii="Arial" w:eastAsiaTheme="minorEastAsia" w:hAnsi="Arial" w:cs="Arial"/>
          <w:sz w:val="22"/>
          <w:szCs w:val="22"/>
          <w:lang w:val="it-IT" w:bidi="ar-SA"/>
        </w:rPr>
        <w:t>servizi</w:t>
      </w:r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</w:t>
      </w:r>
      <w:r w:rsidR="00E83F5A">
        <w:rPr>
          <w:rFonts w:ascii="Arial" w:eastAsiaTheme="minorEastAsia" w:hAnsi="Arial" w:cs="Arial"/>
          <w:sz w:val="22"/>
          <w:szCs w:val="22"/>
          <w:lang w:val="it-IT" w:bidi="ar-SA"/>
        </w:rPr>
        <w:t>per la</w:t>
      </w:r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gestione </w:t>
      </w:r>
      <w:r>
        <w:rPr>
          <w:rFonts w:ascii="Arial" w:eastAsiaTheme="minorEastAsia" w:hAnsi="Arial" w:cs="Arial"/>
          <w:sz w:val="22"/>
          <w:szCs w:val="22"/>
          <w:lang w:val="it-IT" w:bidi="ar-SA"/>
        </w:rPr>
        <w:t>del credito. La nostra sede è a</w:t>
      </w:r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Oslo, Norvegia, la stessa città dove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>Eynar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>Lindorff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it-IT" w:bidi="ar-SA"/>
        </w:rPr>
        <w:t xml:space="preserve">fondò </w:t>
      </w:r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>l’azienda nel 1898. Oggi</w:t>
      </w:r>
      <w:r>
        <w:rPr>
          <w:rFonts w:ascii="Arial" w:eastAsiaTheme="minorEastAsia" w:hAnsi="Arial" w:cs="Arial"/>
          <w:sz w:val="22"/>
          <w:szCs w:val="22"/>
          <w:lang w:val="it-IT" w:bidi="ar-SA"/>
        </w:rPr>
        <w:t xml:space="preserve"> a supporto dei nostri clienti</w:t>
      </w:r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lavorano con noi 4400 persone in 12 diversi Paesi europei.</w:t>
      </w:r>
    </w:p>
    <w:p w14:paraId="33EE108A" w14:textId="24FB0E9A" w:rsidR="001C434A" w:rsidRPr="000308DB" w:rsidRDefault="000926AE" w:rsidP="008400D5">
      <w:pPr>
        <w:spacing w:line="240" w:lineRule="atLeast"/>
        <w:ind w:left="284" w:right="-284"/>
        <w:jc w:val="both"/>
        <w:rPr>
          <w:rFonts w:ascii="Arial" w:eastAsiaTheme="minorEastAsia" w:hAnsi="Arial" w:cs="Arial"/>
          <w:sz w:val="22"/>
          <w:szCs w:val="22"/>
          <w:lang w:val="it-IT" w:eastAsia="it-IT"/>
        </w:rPr>
      </w:pPr>
      <w:r>
        <w:rPr>
          <w:rFonts w:ascii="Arial" w:eastAsiaTheme="minorEastAsia" w:hAnsi="Arial" w:cs="Arial"/>
          <w:sz w:val="22"/>
          <w:szCs w:val="22"/>
          <w:lang w:val="it-IT" w:bidi="ar-SA"/>
        </w:rPr>
        <w:t>Controllata</w:t>
      </w:r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da </w:t>
      </w:r>
      <w:proofErr w:type="spellStart"/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>Nordic</w:t>
      </w:r>
      <w:proofErr w:type="spellEnd"/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Capital Fund VIII</w:t>
      </w:r>
      <w:r>
        <w:rPr>
          <w:rFonts w:ascii="Arial" w:eastAsiaTheme="minorEastAsia" w:hAnsi="Arial" w:cs="Arial"/>
          <w:sz w:val="22"/>
          <w:szCs w:val="22"/>
          <w:lang w:val="it-IT" w:bidi="ar-SA"/>
        </w:rPr>
        <w:t>,</w:t>
      </w:r>
      <w:r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</w:t>
      </w:r>
      <w:proofErr w:type="spellStart"/>
      <w:r w:rsidRPr="005F5AF8">
        <w:rPr>
          <w:rFonts w:ascii="Arial" w:eastAsiaTheme="minorEastAsia" w:hAnsi="Arial" w:cs="Arial"/>
          <w:b/>
          <w:sz w:val="22"/>
          <w:szCs w:val="22"/>
          <w:lang w:val="it-IT" w:bidi="ar-SA"/>
        </w:rPr>
        <w:t>Lindorff</w:t>
      </w:r>
      <w:proofErr w:type="spellEnd"/>
      <w:r>
        <w:rPr>
          <w:rFonts w:ascii="Arial" w:eastAsiaTheme="minorEastAsia" w:hAnsi="Arial" w:cs="Arial"/>
          <w:sz w:val="22"/>
          <w:szCs w:val="22"/>
          <w:lang w:val="it-IT" w:bidi="ar-SA"/>
        </w:rPr>
        <w:t xml:space="preserve"> è l</w:t>
      </w:r>
      <w:r w:rsidR="000308DB"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eader in Europa </w:t>
      </w:r>
      <w:r>
        <w:rPr>
          <w:rFonts w:ascii="Arial" w:eastAsiaTheme="minorEastAsia" w:hAnsi="Arial" w:cs="Arial"/>
          <w:sz w:val="22"/>
          <w:szCs w:val="22"/>
          <w:lang w:val="it-IT" w:bidi="ar-SA"/>
        </w:rPr>
        <w:t>nel</w:t>
      </w:r>
      <w:r w:rsidR="00DB142E">
        <w:rPr>
          <w:rFonts w:ascii="Arial" w:eastAsiaTheme="minorEastAsia" w:hAnsi="Arial" w:cs="Arial"/>
          <w:sz w:val="22"/>
          <w:szCs w:val="22"/>
          <w:lang w:val="it-IT" w:bidi="ar-SA"/>
        </w:rPr>
        <w:t>l’acquisto di portafogli di crediti deteriorati (NPL) e nella loro gestione.</w:t>
      </w:r>
      <w:r>
        <w:rPr>
          <w:rFonts w:ascii="Arial" w:eastAsiaTheme="minorEastAsia" w:hAnsi="Arial" w:cs="Arial"/>
          <w:sz w:val="22"/>
          <w:szCs w:val="22"/>
          <w:lang w:val="it-IT" w:bidi="ar-SA"/>
        </w:rPr>
        <w:t xml:space="preserve"> Offre inoltre</w:t>
      </w:r>
      <w:r w:rsidR="000308DB"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servizi di pagamento e fatturazione. Nel 2016 ha </w:t>
      </w:r>
      <w:r>
        <w:rPr>
          <w:rFonts w:ascii="Arial" w:eastAsiaTheme="minorEastAsia" w:hAnsi="Arial" w:cs="Arial"/>
          <w:sz w:val="22"/>
          <w:szCs w:val="22"/>
          <w:lang w:val="it-IT" w:bidi="ar-SA"/>
        </w:rPr>
        <w:t>realizzato</w:t>
      </w:r>
      <w:r w:rsidR="000308DB" w:rsidRPr="000308DB">
        <w:rPr>
          <w:rFonts w:ascii="Arial" w:eastAsiaTheme="minorEastAsia" w:hAnsi="Arial" w:cs="Arial"/>
          <w:sz w:val="22"/>
          <w:szCs w:val="22"/>
          <w:lang w:val="it-IT" w:bidi="ar-SA"/>
        </w:rPr>
        <w:t xml:space="preserve"> un fatturato di 647 milioni di </w:t>
      </w:r>
      <w:r w:rsidR="000308DB">
        <w:rPr>
          <w:rFonts w:ascii="Arial" w:eastAsiaTheme="minorEastAsia" w:hAnsi="Arial" w:cs="Arial"/>
          <w:sz w:val="22"/>
          <w:szCs w:val="22"/>
          <w:lang w:val="it-IT" w:bidi="ar-SA"/>
        </w:rPr>
        <w:t>Euro (534 milioni</w:t>
      </w:r>
      <w:r>
        <w:rPr>
          <w:rFonts w:ascii="Arial" w:eastAsiaTheme="minorEastAsia" w:hAnsi="Arial" w:cs="Arial"/>
          <w:sz w:val="22"/>
          <w:szCs w:val="22"/>
          <w:lang w:val="it-IT" w:bidi="ar-SA"/>
        </w:rPr>
        <w:t xml:space="preserve"> nel 2015</w:t>
      </w:r>
      <w:r w:rsidR="000308DB">
        <w:rPr>
          <w:rFonts w:ascii="Arial" w:eastAsiaTheme="minorEastAsia" w:hAnsi="Arial" w:cs="Arial"/>
          <w:sz w:val="22"/>
          <w:szCs w:val="22"/>
          <w:lang w:val="it-IT" w:bidi="ar-SA"/>
        </w:rPr>
        <w:t>).</w:t>
      </w:r>
    </w:p>
    <w:p w14:paraId="34976790" w14:textId="77777777" w:rsidR="001C434A" w:rsidRDefault="001C434A" w:rsidP="00BE0B4D">
      <w:pPr>
        <w:spacing w:line="276" w:lineRule="auto"/>
        <w:ind w:right="-284"/>
        <w:jc w:val="both"/>
        <w:rPr>
          <w:rFonts w:ascii="Times New Roman" w:eastAsiaTheme="minorEastAsia" w:hAnsi="Times New Roman"/>
          <w:color w:val="262626"/>
          <w:sz w:val="22"/>
          <w:szCs w:val="22"/>
          <w:lang w:val="it-IT" w:bidi="ar-SA"/>
        </w:rPr>
      </w:pPr>
    </w:p>
    <w:p w14:paraId="7CB12BE6" w14:textId="77777777" w:rsidR="001C434A" w:rsidRDefault="001C434A" w:rsidP="005A18CB">
      <w:pPr>
        <w:spacing w:line="276" w:lineRule="auto"/>
        <w:ind w:left="284" w:right="-284"/>
        <w:jc w:val="both"/>
        <w:rPr>
          <w:rFonts w:ascii="Times New Roman" w:eastAsiaTheme="minorEastAsia" w:hAnsi="Times New Roman"/>
          <w:color w:val="262626"/>
          <w:sz w:val="22"/>
          <w:szCs w:val="22"/>
          <w:lang w:val="it-IT" w:bidi="ar-SA"/>
        </w:rPr>
      </w:pPr>
    </w:p>
    <w:p w14:paraId="5104EF24" w14:textId="77777777" w:rsidR="005A18CB" w:rsidRPr="00E83F5A" w:rsidRDefault="005A18CB" w:rsidP="005A18CB">
      <w:pPr>
        <w:spacing w:line="276" w:lineRule="auto"/>
        <w:ind w:left="284" w:right="-284"/>
        <w:jc w:val="both"/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</w:pPr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>Per ulteriori informazioni:</w:t>
      </w:r>
    </w:p>
    <w:p w14:paraId="45572972" w14:textId="77777777" w:rsidR="005A18CB" w:rsidRPr="00E83F5A" w:rsidRDefault="005A18CB" w:rsidP="005A18CB">
      <w:pPr>
        <w:spacing w:line="276" w:lineRule="auto"/>
        <w:ind w:left="284" w:right="-284"/>
        <w:jc w:val="both"/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</w:pPr>
    </w:p>
    <w:p w14:paraId="3A69F884" w14:textId="77926B75" w:rsidR="001C434A" w:rsidRPr="00E83F5A" w:rsidRDefault="005A18CB" w:rsidP="00110B64">
      <w:pPr>
        <w:spacing w:line="276" w:lineRule="auto"/>
        <w:ind w:left="284" w:right="-284"/>
        <w:jc w:val="both"/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</w:pPr>
      <w:proofErr w:type="spellStart"/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>doBank</w:t>
      </w:r>
      <w:proofErr w:type="spellEnd"/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="00BE0B4D"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="00BE0B4D"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="00BE0B4D"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proofErr w:type="spellStart"/>
      <w:r w:rsidR="00BE0B4D"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>Lindorff</w:t>
      </w:r>
      <w:proofErr w:type="spellEnd"/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ab/>
      </w:r>
    </w:p>
    <w:p w14:paraId="47316C6D" w14:textId="5BD07B7C" w:rsidR="00110B64" w:rsidRDefault="00BE0B4D" w:rsidP="00110B64">
      <w:pPr>
        <w:spacing w:line="276" w:lineRule="auto"/>
        <w:ind w:left="284" w:righ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  <w:r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SEC SPA – </w:t>
      </w:r>
      <w:proofErr w:type="spellStart"/>
      <w:r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Strategy</w:t>
      </w:r>
      <w:proofErr w:type="spellEnd"/>
      <w:r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PR </w:t>
      </w:r>
      <w:proofErr w:type="spellStart"/>
      <w:r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Advocacy</w:t>
      </w:r>
      <w:proofErr w:type="spellEnd"/>
      <w:r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ab/>
      </w:r>
      <w:r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ab/>
      </w:r>
      <w:r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ab/>
      </w:r>
      <w:r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ab/>
      </w:r>
      <w:r w:rsidR="00E83F5A"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ab/>
      </w:r>
      <w:r w:rsidR="00E83F5A"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ab/>
      </w:r>
      <w:r w:rsidR="00110B64" w:rsidRPr="005F5AF8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Fabrizio Puddu</w:t>
      </w:r>
    </w:p>
    <w:p w14:paraId="35FB1B84" w14:textId="40A68D55" w:rsidR="005F5AF8" w:rsidRPr="005F5AF8" w:rsidRDefault="005F5AF8" w:rsidP="00110B64">
      <w:pPr>
        <w:spacing w:line="276" w:lineRule="auto"/>
        <w:ind w:left="284" w:righ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                                                                                                                         </w:t>
      </w:r>
      <w:r w:rsidR="006D5836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Email: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Fabrizio.puddu@lindorff.com</w:t>
      </w:r>
    </w:p>
    <w:p w14:paraId="617264F5" w14:textId="46ACFEB6" w:rsidR="00BE0B4D" w:rsidRPr="00E83F5A" w:rsidRDefault="00BE0B4D" w:rsidP="00BE0B4D">
      <w:pPr>
        <w:spacing w:line="276" w:lineRule="auto"/>
        <w:ind w:left="284" w:right="-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  <w:r w:rsidRPr="00E83F5A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Marco Fraquelli – Daniele Pinosa </w:t>
      </w:r>
      <w:r w:rsidR="00110B64" w:rsidRPr="00E83F5A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                                               </w:t>
      </w:r>
      <w:r w:rsidR="00E83F5A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ab/>
      </w:r>
      <w:r w:rsidR="00E83F5A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ab/>
      </w:r>
      <w:r w:rsidR="006D5836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 xml:space="preserve">Cell: </w:t>
      </w:r>
      <w:r w:rsidR="00110B64" w:rsidRPr="00E83F5A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3450874924</w:t>
      </w:r>
    </w:p>
    <w:p w14:paraId="1299D6FF" w14:textId="3FB03CF2" w:rsidR="00BE0B4D" w:rsidRPr="00E83F5A" w:rsidRDefault="00BE0B4D" w:rsidP="00BE0B4D">
      <w:pPr>
        <w:spacing w:line="276" w:lineRule="auto"/>
        <w:ind w:left="284" w:right="-284"/>
        <w:jc w:val="both"/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</w:pPr>
      <w:r w:rsidRPr="00E83F5A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- Fabio Leoni</w:t>
      </w:r>
      <w:r w:rsidRPr="00E83F5A">
        <w:rPr>
          <w:rFonts w:ascii="Arial" w:eastAsiaTheme="minorEastAsia" w:hAnsi="Arial" w:cs="Arial"/>
          <w:color w:val="262626"/>
          <w:sz w:val="20"/>
          <w:szCs w:val="20"/>
          <w:lang w:val="it-IT" w:bidi="ar-SA"/>
        </w:rPr>
        <w:t xml:space="preserve"> - </w:t>
      </w:r>
      <w:r w:rsidRPr="00E83F5A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026249991</w:t>
      </w:r>
      <w:r w:rsidRPr="00E83F5A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32D99D40" w14:textId="77777777" w:rsidR="00BE0B4D" w:rsidRPr="0003343F" w:rsidRDefault="00BE0B4D" w:rsidP="00BE0B4D">
      <w:pPr>
        <w:rPr>
          <w:rFonts w:ascii="Times New Roman" w:hAnsi="Times New Roman"/>
          <w:lang w:val="it-IT"/>
        </w:rPr>
      </w:pPr>
    </w:p>
    <w:p w14:paraId="6E4E9CE4" w14:textId="77777777" w:rsidR="001C434A" w:rsidRDefault="001C434A" w:rsidP="005A18CB">
      <w:pPr>
        <w:spacing w:line="276" w:lineRule="auto"/>
        <w:ind w:left="284" w:right="-284"/>
        <w:jc w:val="both"/>
        <w:rPr>
          <w:rFonts w:ascii="Times New Roman" w:eastAsiaTheme="minorEastAsia" w:hAnsi="Times New Roman"/>
          <w:color w:val="262626"/>
          <w:sz w:val="22"/>
          <w:szCs w:val="22"/>
          <w:lang w:val="it-IT" w:bidi="ar-SA"/>
        </w:rPr>
      </w:pPr>
    </w:p>
    <w:p w14:paraId="3A6D68B2" w14:textId="77777777" w:rsidR="00E2033C" w:rsidRPr="0003343F" w:rsidRDefault="00E2033C">
      <w:pPr>
        <w:rPr>
          <w:rFonts w:asciiTheme="minorHAnsi" w:eastAsiaTheme="minorEastAsia" w:hAnsiTheme="minorHAnsi" w:cstheme="minorBidi"/>
          <w:lang w:val="it-IT"/>
        </w:rPr>
      </w:pPr>
    </w:p>
    <w:sectPr w:rsidR="00E2033C" w:rsidRPr="0003343F" w:rsidSect="00E2033C">
      <w:headerReference w:type="default" r:id="rId9"/>
      <w:footerReference w:type="default" r:id="rId10"/>
      <w:headerReference w:type="first" r:id="rId11"/>
      <w:pgSz w:w="11900" w:h="16840"/>
      <w:pgMar w:top="2268" w:right="1127" w:bottom="3119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78B1" w14:textId="77777777" w:rsidR="00F57F99" w:rsidRDefault="00F57F99">
      <w:r>
        <w:separator/>
      </w:r>
    </w:p>
  </w:endnote>
  <w:endnote w:type="continuationSeparator" w:id="0">
    <w:p w14:paraId="25233F1F" w14:textId="77777777" w:rsidR="00F57F99" w:rsidRDefault="00F5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8B2EE" w14:textId="77777777" w:rsidR="00AB280E" w:rsidRPr="00090247" w:rsidRDefault="00AB280E" w:rsidP="00E16EFA">
    <w:pPr>
      <w:pStyle w:val="Pidipagina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</w:rPr>
      <w:t>________________________________________________________________________________________________________________________________________________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AE25" w14:textId="77777777" w:rsidR="00F57F99" w:rsidRDefault="00F57F99">
      <w:r>
        <w:separator/>
      </w:r>
    </w:p>
  </w:footnote>
  <w:footnote w:type="continuationSeparator" w:id="0">
    <w:p w14:paraId="24F71DA4" w14:textId="77777777" w:rsidR="00F57F99" w:rsidRDefault="00F57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9872" w14:textId="26E51CC0" w:rsidR="00AB280E" w:rsidRDefault="00AB280E">
    <w:pPr>
      <w:pStyle w:val="Intestazione"/>
    </w:pPr>
    <w:r>
      <w:t xml:space="preserve">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8F0E" w14:textId="137BBBFD" w:rsidR="00AB280E" w:rsidRDefault="005F5AF8" w:rsidP="005F5AF8">
    <w:pPr>
      <w:pStyle w:val="Intestazione"/>
      <w:ind w:right="-284"/>
    </w:pPr>
    <w:r>
      <w:rPr>
        <w:noProof/>
        <w:lang w:val="it-IT" w:eastAsia="it-IT" w:bidi="ar-SA"/>
      </w:rPr>
      <w:drawing>
        <wp:inline distT="0" distB="0" distL="0" distR="0" wp14:anchorId="2BBCB987" wp14:editId="34860BBB">
          <wp:extent cx="1041400" cy="328041"/>
          <wp:effectExtent l="0" t="0" r="6350" b="0"/>
          <wp:docPr id="4" name="Picture 4" descr="C:\Users\puddufa\Desktop\Lindorff logo negative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ddufa\Desktop\Lindorff logo negative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374" cy="32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80E">
      <w:t xml:space="preserve">            </w:t>
    </w:r>
    <w:r w:rsidR="00AB280E" w:rsidRPr="00E10469">
      <w:rPr>
        <w:b/>
      </w:rPr>
      <w:t xml:space="preserve"> </w:t>
    </w:r>
    <w:r w:rsidR="00AB280E">
      <w:t xml:space="preserve">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6FCF"/>
    <w:multiLevelType w:val="hybridMultilevel"/>
    <w:tmpl w:val="60448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3B"/>
    <w:rsid w:val="00005C8D"/>
    <w:rsid w:val="000134F1"/>
    <w:rsid w:val="00025C11"/>
    <w:rsid w:val="000308DB"/>
    <w:rsid w:val="0003343F"/>
    <w:rsid w:val="0007073B"/>
    <w:rsid w:val="000926AE"/>
    <w:rsid w:val="000B7F84"/>
    <w:rsid w:val="000C28D2"/>
    <w:rsid w:val="000E3C21"/>
    <w:rsid w:val="00110B64"/>
    <w:rsid w:val="0011679B"/>
    <w:rsid w:val="00122BE2"/>
    <w:rsid w:val="00154ED4"/>
    <w:rsid w:val="0017568C"/>
    <w:rsid w:val="001C434A"/>
    <w:rsid w:val="001D570A"/>
    <w:rsid w:val="001E0297"/>
    <w:rsid w:val="002767F2"/>
    <w:rsid w:val="002E443D"/>
    <w:rsid w:val="003133A0"/>
    <w:rsid w:val="0038427E"/>
    <w:rsid w:val="003F08A6"/>
    <w:rsid w:val="004A6FEE"/>
    <w:rsid w:val="005311F2"/>
    <w:rsid w:val="00533A24"/>
    <w:rsid w:val="00541376"/>
    <w:rsid w:val="00582257"/>
    <w:rsid w:val="005A18CB"/>
    <w:rsid w:val="005C569B"/>
    <w:rsid w:val="005F5AF8"/>
    <w:rsid w:val="00635EC4"/>
    <w:rsid w:val="00651000"/>
    <w:rsid w:val="00674377"/>
    <w:rsid w:val="00684E35"/>
    <w:rsid w:val="00685883"/>
    <w:rsid w:val="006D5836"/>
    <w:rsid w:val="00713AFF"/>
    <w:rsid w:val="0077705B"/>
    <w:rsid w:val="007C3FE5"/>
    <w:rsid w:val="008400D5"/>
    <w:rsid w:val="0085258E"/>
    <w:rsid w:val="009160DA"/>
    <w:rsid w:val="009278B6"/>
    <w:rsid w:val="0096518C"/>
    <w:rsid w:val="00A76DC1"/>
    <w:rsid w:val="00AB280E"/>
    <w:rsid w:val="00B1630F"/>
    <w:rsid w:val="00B17489"/>
    <w:rsid w:val="00B65B93"/>
    <w:rsid w:val="00BE0B4D"/>
    <w:rsid w:val="00C03042"/>
    <w:rsid w:val="00C67BB6"/>
    <w:rsid w:val="00C943E3"/>
    <w:rsid w:val="00CE5862"/>
    <w:rsid w:val="00CF5D28"/>
    <w:rsid w:val="00D127E1"/>
    <w:rsid w:val="00D25B53"/>
    <w:rsid w:val="00D365A6"/>
    <w:rsid w:val="00D51B98"/>
    <w:rsid w:val="00DB142E"/>
    <w:rsid w:val="00DF347C"/>
    <w:rsid w:val="00E06380"/>
    <w:rsid w:val="00E10469"/>
    <w:rsid w:val="00E16EFA"/>
    <w:rsid w:val="00E2033C"/>
    <w:rsid w:val="00E64A2D"/>
    <w:rsid w:val="00E83F5A"/>
    <w:rsid w:val="00EA4230"/>
    <w:rsid w:val="00EF6263"/>
    <w:rsid w:val="00F40210"/>
    <w:rsid w:val="00F45183"/>
    <w:rsid w:val="00F47C62"/>
    <w:rsid w:val="00F57F99"/>
    <w:rsid w:val="00F752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D3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73B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0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7073B"/>
    <w:rPr>
      <w:rFonts w:ascii="Cambria" w:eastAsia="MS Mincho" w:hAnsi="Cambria" w:cs="Times New Roman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070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7073B"/>
    <w:rPr>
      <w:rFonts w:ascii="Cambria" w:eastAsia="MS Mincho" w:hAnsi="Cambria" w:cs="Times New Roman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E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6EFA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73B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0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7073B"/>
    <w:rPr>
      <w:rFonts w:ascii="Cambria" w:eastAsia="MS Mincho" w:hAnsi="Cambria" w:cs="Times New Roman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070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7073B"/>
    <w:rPr>
      <w:rFonts w:ascii="Cambria" w:eastAsia="MS Mincho" w:hAnsi="Cambria" w:cs="Times New Roman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E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6EFA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NUL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2017-05-04T08:17:00Z</dcterms:created>
  <dcterms:modified xsi:type="dcterms:W3CDTF">2017-05-04T08:17:00Z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-1136547693</vt:i4>
  </property>
  <property fmtid="{D5CDD505-2E9C-101B-9397-08002B2CF9AE}" pid="3" name="_NewReviewCycle">
    <vt:lpwstr/>
  </property>
</Properties>
</file>